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985C8" w14:textId="77777777" w:rsidR="00426BC4" w:rsidRPr="003C51D1" w:rsidRDefault="00426BC4" w:rsidP="00426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14:paraId="069DFA4A" w14:textId="19D37968" w:rsidR="00426BC4" w:rsidRPr="00A72A4D" w:rsidRDefault="00426BC4" w:rsidP="00426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1D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распоряжению от </w:t>
      </w:r>
      <w:r w:rsidR="00A72A4D" w:rsidRPr="00A72A4D">
        <w:rPr>
          <w:rFonts w:ascii="Times New Roman" w:hAnsi="Times New Roman"/>
          <w:sz w:val="24"/>
          <w:szCs w:val="24"/>
        </w:rPr>
        <w:t xml:space="preserve"> </w:t>
      </w:r>
      <w:r w:rsidR="001675C1">
        <w:rPr>
          <w:rFonts w:ascii="Times New Roman" w:hAnsi="Times New Roman"/>
          <w:sz w:val="24"/>
          <w:szCs w:val="24"/>
        </w:rPr>
        <w:t>27</w:t>
      </w:r>
      <w:r w:rsidR="00A72A4D" w:rsidRPr="00A72A4D">
        <w:rPr>
          <w:rFonts w:ascii="Times New Roman" w:hAnsi="Times New Roman"/>
          <w:sz w:val="24"/>
          <w:szCs w:val="24"/>
        </w:rPr>
        <w:t>.</w:t>
      </w:r>
      <w:r w:rsidR="001675C1">
        <w:rPr>
          <w:rFonts w:ascii="Times New Roman" w:hAnsi="Times New Roman"/>
          <w:sz w:val="24"/>
          <w:szCs w:val="24"/>
        </w:rPr>
        <w:t>09</w:t>
      </w:r>
      <w:r w:rsidR="00A72A4D" w:rsidRPr="00A72A4D">
        <w:rPr>
          <w:rFonts w:ascii="Times New Roman" w:hAnsi="Times New Roman"/>
          <w:sz w:val="24"/>
          <w:szCs w:val="24"/>
        </w:rPr>
        <w:t>.202</w:t>
      </w:r>
      <w:r w:rsidR="001675C1">
        <w:rPr>
          <w:rFonts w:ascii="Times New Roman" w:hAnsi="Times New Roman"/>
          <w:sz w:val="24"/>
          <w:szCs w:val="24"/>
        </w:rPr>
        <w:t>4</w:t>
      </w:r>
      <w:r w:rsidR="00A72A4D" w:rsidRPr="00A72A4D">
        <w:rPr>
          <w:rFonts w:ascii="Times New Roman" w:hAnsi="Times New Roman"/>
          <w:sz w:val="24"/>
          <w:szCs w:val="24"/>
        </w:rPr>
        <w:t xml:space="preserve"> №</w:t>
      </w:r>
      <w:r w:rsidR="001675C1">
        <w:rPr>
          <w:rFonts w:ascii="Times New Roman" w:hAnsi="Times New Roman"/>
          <w:sz w:val="24"/>
          <w:szCs w:val="24"/>
        </w:rPr>
        <w:t>70</w:t>
      </w:r>
      <w:r w:rsidR="00A72A4D" w:rsidRPr="00A72A4D">
        <w:rPr>
          <w:rFonts w:ascii="Times New Roman" w:hAnsi="Times New Roman"/>
          <w:sz w:val="24"/>
          <w:szCs w:val="24"/>
        </w:rPr>
        <w:t>-р</w:t>
      </w:r>
    </w:p>
    <w:p w14:paraId="759797EF" w14:textId="77777777" w:rsidR="00A72A4D" w:rsidRDefault="00A72A4D" w:rsidP="00426BC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ACAEB9" w14:textId="77777777" w:rsidR="00426BC4" w:rsidRPr="003C51D1" w:rsidRDefault="00426BC4" w:rsidP="00426BC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51D1">
        <w:rPr>
          <w:rFonts w:ascii="Times New Roman" w:hAnsi="Times New Roman"/>
          <w:b/>
          <w:sz w:val="24"/>
          <w:szCs w:val="24"/>
          <w:lang w:eastAsia="ru-RU"/>
        </w:rPr>
        <w:t>УЧЕТНАЯ ПОЛИТИКА ДЛЯ ЦЕЛЕЙ  НАЛОГОВОГО УЧЕТА</w:t>
      </w:r>
    </w:p>
    <w:p w14:paraId="22B7D5A3" w14:textId="77777777" w:rsidR="00426BC4" w:rsidRPr="00061BE2" w:rsidRDefault="00426BC4" w:rsidP="00A72A4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061B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018B8D4F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1.1. Учетная политика для целей налогообложения считае</w:t>
      </w:r>
      <w:bookmarkStart w:id="0" w:name="_GoBack"/>
      <w:bookmarkEnd w:id="0"/>
      <w:r w:rsidRPr="00A72A4D">
        <w:rPr>
          <w:rFonts w:ascii="Times New Roman" w:hAnsi="Times New Roman"/>
          <w:sz w:val="24"/>
          <w:szCs w:val="24"/>
          <w:lang w:eastAsia="ru-RU"/>
        </w:rPr>
        <w:t>тся разработанной в соответствии с требованиями части второй Налогового кодекса РФ.</w:t>
      </w:r>
    </w:p>
    <w:p w14:paraId="61B8C0ED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1.2. Основные задачи налогового учета:</w:t>
      </w:r>
    </w:p>
    <w:p w14:paraId="07CE2AE7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- представление в налоговый орган по месту учета в установленном порядке налоговых деклараций по тем налогам, которые Администрация обязана уплачивать: НДС, налог на прибыль, налог на землю, налог на имущество, НДФЛ, транспортный налог.</w:t>
      </w:r>
    </w:p>
    <w:p w14:paraId="0B50A6F4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1.3. Объектами налогового учета могут быть:</w:t>
      </w:r>
    </w:p>
    <w:p w14:paraId="3021999C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- имущество;</w:t>
      </w:r>
    </w:p>
    <w:p w14:paraId="140ECDA4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- доходы, по которым возникает обязанность по уплате налогов;</w:t>
      </w:r>
    </w:p>
    <w:p w14:paraId="16F3C97F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- иные объекты, имеющие стоимость, по которым возникает обязанность по уплате налогов.</w:t>
      </w:r>
    </w:p>
    <w:p w14:paraId="2185DA77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1ACC17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Система учета</w:t>
      </w:r>
    </w:p>
    <w:p w14:paraId="4A14656C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83BCA0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2.1. Для подтверждения данных налогового учета применяются:</w:t>
      </w:r>
    </w:p>
    <w:p w14:paraId="57E7F82D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- первичные учетные документы (включая бухгалтерскую справку), оформленные в соответствии с законодательством РФ;</w:t>
      </w:r>
    </w:p>
    <w:p w14:paraId="7928BD12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- аналитические регистры налогового учета.</w:t>
      </w:r>
    </w:p>
    <w:p w14:paraId="2AEA5CDE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 xml:space="preserve">2.2. Система налогового учета создается в рамках существующей системы бюджетного учета, которая развивается и дорабатывается в соответствии с требованиями Налогового кодекса РФ. </w:t>
      </w:r>
    </w:p>
    <w:p w14:paraId="7BF977E7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 xml:space="preserve">2.3. Ответственность за ведение налогового учета возлагается на руководителя отдела бухгалтерского учета и отчетности, его заместителя. </w:t>
      </w:r>
    </w:p>
    <w:p w14:paraId="2C79CF28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2.4. Декларации по налогам на заработную плату (страховые взносы, НДФЛ) готовит и представляет в налоговые органы ведущий бухгалтер.</w:t>
      </w:r>
    </w:p>
    <w:p w14:paraId="580CFD48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br/>
      </w:r>
      <w:r w:rsidRPr="00A72A4D">
        <w:rPr>
          <w:rFonts w:ascii="Times New Roman" w:hAnsi="Times New Roman"/>
          <w:b/>
          <w:bCs/>
          <w:sz w:val="24"/>
          <w:szCs w:val="24"/>
          <w:lang w:eastAsia="ru-RU"/>
        </w:rPr>
        <w:t>3. Налоговые регистры</w:t>
      </w:r>
    </w:p>
    <w:p w14:paraId="055DA580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A72A4D">
        <w:rPr>
          <w:rFonts w:ascii="Times New Roman" w:hAnsi="Times New Roman"/>
          <w:sz w:val="24"/>
          <w:szCs w:val="24"/>
          <w:lang w:eastAsia="ru-RU"/>
        </w:rPr>
        <w:t>3.1. Регистры налогового учета формируются на основании данных регистров бюджетного учета и дополнительных учетов. Регистры налогового учета могут видоизменяться.</w:t>
      </w:r>
      <w:r w:rsidRPr="00A72A4D">
        <w:rPr>
          <w:rFonts w:ascii="Times New Roman" w:hAnsi="Times New Roman"/>
          <w:sz w:val="24"/>
          <w:szCs w:val="24"/>
          <w:lang w:eastAsia="ru-RU"/>
        </w:rPr>
        <w:br/>
        <w:t>3.2. В регистрах налогового учета должен быть отражен источник информации или основание для записи.</w:t>
      </w:r>
    </w:p>
    <w:p w14:paraId="74A2DA04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92C656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hAnsi="Times New Roman"/>
          <w:b/>
          <w:bCs/>
          <w:sz w:val="24"/>
          <w:szCs w:val="24"/>
          <w:lang w:eastAsia="ru-RU"/>
        </w:rPr>
        <w:t>4. Налог на прибыль</w:t>
      </w:r>
    </w:p>
    <w:p w14:paraId="67CFA6E2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A72A4D">
        <w:rPr>
          <w:rFonts w:ascii="Times New Roman" w:hAnsi="Times New Roman"/>
          <w:sz w:val="24"/>
          <w:szCs w:val="24"/>
          <w:lang w:eastAsia="ru-RU"/>
        </w:rPr>
        <w:t>4.1. Налоговым периодом по налогу на прибыль считается год, отчетными периодами - первый квартал, полугодие и девять месяцев календарного года (ст. 285 Налогового кодекса РФ).</w:t>
      </w:r>
    </w:p>
    <w:p w14:paraId="24421D8C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Декларация по окончании каждого отчетного (налогового) периода представляется в ИФНС в сроки, предусмотренные статьей 289 Налогового кодекса РФ.</w:t>
      </w:r>
    </w:p>
    <w:p w14:paraId="1774377D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4.2. Бюджетная деятельность администрации налогом на прибыль не облагается, предпринимательской и иной приносящий доход деятельности администрация не имеет. Декларация по налогу на прибыль предоставляется с нулевыми  показателями.</w:t>
      </w:r>
    </w:p>
    <w:p w14:paraId="60816FA7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lastRenderedPageBreak/>
        <w:br/>
      </w:r>
      <w:r w:rsidRPr="00A72A4D">
        <w:rPr>
          <w:rFonts w:ascii="Times New Roman" w:hAnsi="Times New Roman"/>
          <w:b/>
          <w:bCs/>
          <w:sz w:val="24"/>
          <w:szCs w:val="24"/>
          <w:lang w:eastAsia="ru-RU"/>
        </w:rPr>
        <w:t>5. Налог на добавленную стоимость</w:t>
      </w:r>
    </w:p>
    <w:p w14:paraId="60A5512D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br/>
        <w:t>5.1.  Бюджетные  средства и средства целевых поступлений  не включаются в расчеты. Декларация по НДС  предоставляется с нулевыми показателями, либо в соответствии со ст. 145 НК РФ администрация имеет право на освобождение от исполнения обязанностей налогоплательщика, связанных с исчислением и уплатой налога.</w:t>
      </w:r>
    </w:p>
    <w:p w14:paraId="412820B0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7AC4A6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Транспортный налог</w:t>
      </w:r>
    </w:p>
    <w:p w14:paraId="6FD6DD6F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 xml:space="preserve">6.1. Налогооблагаемая база формируется исходя из наличия всех транспортных средств, зарегистрированных как имущество Администрации, в соответствии с главой 28 Налогового кодекса РФ и Правовыми актами Правительства Республики Коми. </w:t>
      </w: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br/>
        <w:t>6.2. В налогооблагаемую базу включаются транспортные средства, находящиеся на ремонте и подлежащие списанию, до момента снятия транспортного средства с учета или исключения из государственного реестра в соответствии с законодательством Российской Федерации.</w:t>
      </w:r>
    </w:p>
    <w:p w14:paraId="20F9CFF5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AB9B62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Налог на имущество организаций</w:t>
      </w:r>
    </w:p>
    <w:p w14:paraId="1474CCFB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FE86C82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2A4D">
        <w:rPr>
          <w:rFonts w:ascii="Times New Roman" w:hAnsi="Times New Roman"/>
          <w:bCs/>
          <w:sz w:val="24"/>
          <w:szCs w:val="24"/>
          <w:lang w:eastAsia="ru-RU"/>
        </w:rPr>
        <w:t>7.1 Учреждение является плательщиком налога на имущество. Перечень объектов налогообложения определять в соответствии со статьей 374 Налогового кодекса РФ. На учреждения распространяются льготы в соответствии с законодательством региона. Основание: глава 30 Налогового кодекса РФ.</w:t>
      </w:r>
    </w:p>
    <w:p w14:paraId="7297A152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7.2. Налогооблагаемая база по налогу на имущество формируется согласно статьям 374, 375 главы 30 Налогового кодекса РФ.</w:t>
      </w:r>
    </w:p>
    <w:p w14:paraId="3E14CEC9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7.3. Налоговая ставка применяется в соответствии с Правовыми актами Правительства Республики Коми «О налоге на имущество организаций». Основание: статья 372 Налогового кодекса РФ.</w:t>
      </w:r>
    </w:p>
    <w:p w14:paraId="3F4DC292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A4D">
        <w:rPr>
          <w:rFonts w:ascii="Times New Roman" w:hAnsi="Times New Roman"/>
          <w:sz w:val="24"/>
          <w:szCs w:val="24"/>
          <w:lang w:eastAsia="ru-RU"/>
        </w:rPr>
        <w:t>7.4 Налоги и авансовые платежи по налогу на имущество уплачиваются в региональный бюджет по местонахождению учреждения в порядке и сроки, предусмотренные статьей 383 Налогового кодекса РФ.</w:t>
      </w:r>
    </w:p>
    <w:p w14:paraId="252E34CE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AC8D89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Земельный налог</w:t>
      </w:r>
    </w:p>
    <w:p w14:paraId="0EBEC4A6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>8.1. Налогооблагаемая база по  земельному налогу формируется согласно статьям 389, 390, 391 Налогового кодекса РФ. Основание: глава 31 Налогового кодекса РФ.</w:t>
      </w: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br/>
        <w:t>8.2. Налоговая ставка применятся в соответствии  с местным законодательством согласно статье 394 Налогового кодекса РФ.</w:t>
      </w:r>
    </w:p>
    <w:p w14:paraId="478ABBCB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532A06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Налог на доходы физических лиц</w:t>
      </w:r>
    </w:p>
    <w:p w14:paraId="017FE267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D4211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>9.1. 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НДФЛ ведется в налоговом регистре.</w:t>
      </w:r>
    </w:p>
    <w:p w14:paraId="577C45F1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(Основание: </w:t>
      </w:r>
      <w:hyperlink r:id="rId6" w:history="1">
        <w:r w:rsidRPr="00A72A4D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п. 1 ст. 230</w:t>
        </w:r>
      </w:hyperlink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НК РФ)</w:t>
      </w:r>
    </w:p>
    <w:p w14:paraId="559403A2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5C2E2D" w14:textId="77777777" w:rsidR="00426BC4" w:rsidRPr="00A72A4D" w:rsidRDefault="00426BC4" w:rsidP="00A72A4D">
      <w:pPr>
        <w:pStyle w:val="a5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Страховые взносы</w:t>
      </w:r>
    </w:p>
    <w:p w14:paraId="2D644366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7A6BBB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 xml:space="preserve">10.1. </w:t>
      </w:r>
      <w:proofErr w:type="gramStart"/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</w:t>
      </w: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учета.</w:t>
      </w:r>
      <w:proofErr w:type="gramEnd"/>
    </w:p>
    <w:p w14:paraId="4583D04E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(Основание: </w:t>
      </w:r>
      <w:hyperlink r:id="rId7" w:history="1">
        <w:proofErr w:type="spellStart"/>
        <w:r w:rsidRPr="00A72A4D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пп</w:t>
        </w:r>
        <w:proofErr w:type="spellEnd"/>
        <w:r w:rsidRPr="00A72A4D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. 2 п. 3.4 ст. 23</w:t>
        </w:r>
      </w:hyperlink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hyperlink r:id="rId8" w:history="1">
        <w:r w:rsidRPr="00A72A4D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п. 4 ст. 431</w:t>
        </w:r>
      </w:hyperlink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НК РФ)</w:t>
      </w:r>
    </w:p>
    <w:p w14:paraId="6CDB2569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sz w:val="24"/>
          <w:szCs w:val="24"/>
          <w:lang w:eastAsia="ru-RU"/>
        </w:rPr>
        <w:t>10.2. Учет начислений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учета.</w:t>
      </w:r>
    </w:p>
    <w:p w14:paraId="2E372E9F" w14:textId="77777777" w:rsidR="00426BC4" w:rsidRPr="00A72A4D" w:rsidRDefault="00426BC4" w:rsidP="00A72A4D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(Основание: </w:t>
      </w:r>
      <w:hyperlink r:id="rId9" w:history="1">
        <w:proofErr w:type="spellStart"/>
        <w:r w:rsidRPr="00A72A4D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пп</w:t>
        </w:r>
        <w:proofErr w:type="spellEnd"/>
        <w:r w:rsidRPr="00A72A4D">
          <w:rPr>
            <w:rStyle w:val="a4"/>
            <w:rFonts w:ascii="Times New Roman" w:eastAsia="Times New Roman" w:hAnsi="Times New Roman"/>
            <w:iCs/>
            <w:sz w:val="24"/>
            <w:szCs w:val="24"/>
            <w:lang w:eastAsia="ru-RU"/>
          </w:rPr>
          <w:t>. 17 п. 2 ст. 17</w:t>
        </w:r>
      </w:hyperlink>
      <w:r w:rsidRPr="00A72A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Федерального закона от 24.07.1998 N 125-ФЗ)</w:t>
      </w:r>
    </w:p>
    <w:p w14:paraId="16045ECF" w14:textId="77777777" w:rsidR="001D2E4B" w:rsidRPr="00A72A4D" w:rsidRDefault="001D2E4B" w:rsidP="001D2E4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sectPr w:rsidR="001D2E4B" w:rsidRPr="00A72A4D" w:rsidSect="00FF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C5517"/>
    <w:multiLevelType w:val="hybridMultilevel"/>
    <w:tmpl w:val="A2DA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5857"/>
    <w:multiLevelType w:val="hybridMultilevel"/>
    <w:tmpl w:val="CA7ED944"/>
    <w:lvl w:ilvl="0" w:tplc="0172D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B"/>
    <w:rsid w:val="000362E6"/>
    <w:rsid w:val="00061BE2"/>
    <w:rsid w:val="0014041B"/>
    <w:rsid w:val="001675C1"/>
    <w:rsid w:val="001C1C77"/>
    <w:rsid w:val="001D2E4B"/>
    <w:rsid w:val="0028193B"/>
    <w:rsid w:val="00320D67"/>
    <w:rsid w:val="00353ABF"/>
    <w:rsid w:val="00364219"/>
    <w:rsid w:val="003757FF"/>
    <w:rsid w:val="003C51D1"/>
    <w:rsid w:val="003D557E"/>
    <w:rsid w:val="00426BC4"/>
    <w:rsid w:val="0045727C"/>
    <w:rsid w:val="004757C9"/>
    <w:rsid w:val="004E3FDE"/>
    <w:rsid w:val="00630899"/>
    <w:rsid w:val="006F054C"/>
    <w:rsid w:val="007066DB"/>
    <w:rsid w:val="00766E90"/>
    <w:rsid w:val="00783249"/>
    <w:rsid w:val="007A4E3B"/>
    <w:rsid w:val="007D7CD4"/>
    <w:rsid w:val="00890F32"/>
    <w:rsid w:val="00916280"/>
    <w:rsid w:val="00927518"/>
    <w:rsid w:val="009B15D3"/>
    <w:rsid w:val="00A03DD0"/>
    <w:rsid w:val="00A72A4D"/>
    <w:rsid w:val="00AC3CF1"/>
    <w:rsid w:val="00B67166"/>
    <w:rsid w:val="00BE65BE"/>
    <w:rsid w:val="00C217C3"/>
    <w:rsid w:val="00DE672E"/>
    <w:rsid w:val="00F96DBF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F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creen">
    <w:name w:val="dscreen"/>
    <w:basedOn w:val="a0"/>
    <w:rsid w:val="001D2E4B"/>
  </w:style>
  <w:style w:type="paragraph" w:styleId="a3">
    <w:name w:val="Normal (Web)"/>
    <w:basedOn w:val="a"/>
    <w:uiPriority w:val="99"/>
    <w:unhideWhenUsed/>
    <w:rsid w:val="001D2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D2E4B"/>
    <w:rPr>
      <w:color w:val="0000FF"/>
      <w:u w:val="single"/>
    </w:rPr>
  </w:style>
  <w:style w:type="character" w:customStyle="1" w:styleId="dmenu">
    <w:name w:val="dmenu"/>
    <w:basedOn w:val="a0"/>
    <w:rsid w:val="001D2E4B"/>
  </w:style>
  <w:style w:type="paragraph" w:styleId="a5">
    <w:name w:val="No Spacing"/>
    <w:uiPriority w:val="1"/>
    <w:qFormat/>
    <w:rsid w:val="007A4E3B"/>
    <w:rPr>
      <w:sz w:val="22"/>
      <w:szCs w:val="22"/>
      <w:lang w:eastAsia="en-US"/>
    </w:rPr>
  </w:style>
  <w:style w:type="paragraph" w:styleId="a6">
    <w:name w:val="Balloon Text"/>
    <w:basedOn w:val="a"/>
    <w:semiHidden/>
    <w:rsid w:val="007066D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766E9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61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creen">
    <w:name w:val="dscreen"/>
    <w:basedOn w:val="a0"/>
    <w:rsid w:val="001D2E4B"/>
  </w:style>
  <w:style w:type="paragraph" w:styleId="a3">
    <w:name w:val="Normal (Web)"/>
    <w:basedOn w:val="a"/>
    <w:uiPriority w:val="99"/>
    <w:unhideWhenUsed/>
    <w:rsid w:val="001D2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D2E4B"/>
    <w:rPr>
      <w:color w:val="0000FF"/>
      <w:u w:val="single"/>
    </w:rPr>
  </w:style>
  <w:style w:type="character" w:customStyle="1" w:styleId="dmenu">
    <w:name w:val="dmenu"/>
    <w:basedOn w:val="a0"/>
    <w:rsid w:val="001D2E4B"/>
  </w:style>
  <w:style w:type="paragraph" w:styleId="a5">
    <w:name w:val="No Spacing"/>
    <w:uiPriority w:val="1"/>
    <w:qFormat/>
    <w:rsid w:val="007A4E3B"/>
    <w:rPr>
      <w:sz w:val="22"/>
      <w:szCs w:val="22"/>
      <w:lang w:eastAsia="en-US"/>
    </w:rPr>
  </w:style>
  <w:style w:type="paragraph" w:styleId="a6">
    <w:name w:val="Balloon Text"/>
    <w:basedOn w:val="a"/>
    <w:semiHidden/>
    <w:rsid w:val="007066D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766E9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6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FA0ABAC1A340F1C452EDA41065EA2D5482A7D8F6E77D337B40876CB6C8B921F896B0B6F5A9960DE6824234733CA8EFBE80220E70B2BX7k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CFA0ABAC1A340F1C452EDA41065EA2D54A287C8A6A77D337B40876CB6C8B921F896B09635F9F6D816D31321F3FCA91E5EA1E3CE509X2k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FA0ABAC1A340F1C452EDA41065EA2D5482A7D8F6E77D337B40876CB6C8B921F896B0F6C529B6D816D31321F3FCA91E5EA1E3CE509X2k8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CFA0ABAC1A340F1C452EDA41065EA2D5482B76896877D337B40876CB6C8B921F896B08685C92328478206A133FD58FE7F6023EE7X0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Links>
    <vt:vector size="24" baseType="variant">
      <vt:variant>
        <vt:i4>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consultantplus://offline/ref=06CFA0ABAC1A340F1C452EDA41065EA2D5482B76896877D337B40876CB6C8B921F896B08685C92328478206A133FD58FE7F6023EE7X0kAH</vt:lpwstr>
      </vt:variant>
      <vt:variant>
        <vt:lpwstr/>
      </vt:variant>
      <vt:variant>
        <vt:i4>6094854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consultantplus://offline/ref=06CFA0ABAC1A340F1C452EDA41065EA2D5482A7D8F6E77D337B40876CB6C8B921F896B0B6F5A9960DE6824234733CA8EFBE80220E70B2BX7k7H</vt:lpwstr>
      </vt:variant>
      <vt:variant>
        <vt:lpwstr/>
      </vt:variant>
      <vt:variant>
        <vt:i4>3407975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consultantplus://offline/ref=06CFA0ABAC1A340F1C452EDA41065EA2D54A287C8A6A77D337B40876CB6C8B921F896B09635F9F6D816D31321F3FCA91E5EA1E3CE509X2k8H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consultantplus://offline/ref=06CFA0ABAC1A340F1C452EDA41065EA2D5482A7D8F6E77D337B40876CB6C8B921F896B0F6C529B6D816D31321F3FCA91E5EA1E3CE509X2k8H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2018-02-05T11:12:00Z</cp:lastPrinted>
  <dcterms:created xsi:type="dcterms:W3CDTF">2021-02-11T09:44:00Z</dcterms:created>
  <dcterms:modified xsi:type="dcterms:W3CDTF">2024-09-30T14:01:00Z</dcterms:modified>
</cp:coreProperties>
</file>