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 xml:space="preserve">11:04:6002001 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«Соколовка»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11:04:6002001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11:04:6002001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15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4</w:t>
            </w:r>
            <w:bookmarkStart w:id="0" w:name="_GoBack"/>
            <w:bookmarkEnd w:id="0"/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7D07072"/>
    <w:rsid w:val="19541F86"/>
    <w:rsid w:val="1F2431AA"/>
    <w:rsid w:val="48672E17"/>
    <w:rsid w:val="5A1218E8"/>
    <w:rsid w:val="5D27460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